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9A71" w14:textId="77777777" w:rsidR="00AD12F3" w:rsidRPr="009E3ECE" w:rsidRDefault="00AD12F3" w:rsidP="000F0AAF">
      <w:pPr>
        <w:spacing w:after="120" w:line="240" w:lineRule="auto"/>
        <w:rPr>
          <w:rFonts w:ascii="Franklin Gothic Demi" w:eastAsia="Aptos" w:hAnsi="Franklin Gothic Demi" w:cs="Times New Roman"/>
          <w:color w:val="6A3895"/>
          <w:kern w:val="2"/>
          <w:sz w:val="32"/>
          <w:szCs w:val="32"/>
          <w14:ligatures w14:val="standardContextual"/>
        </w:rPr>
      </w:pPr>
      <w:r w:rsidRPr="009E3ECE">
        <w:rPr>
          <w:rFonts w:ascii="Franklin Gothic Demi" w:eastAsia="Aptos" w:hAnsi="Franklin Gothic Demi" w:cs="Times New Roman"/>
          <w:color w:val="6A3895"/>
          <w:kern w:val="2"/>
          <w:sz w:val="32"/>
          <w:szCs w:val="32"/>
          <w14:ligatures w14:val="standardContextual"/>
        </w:rPr>
        <w:t>Key factors to consider when choosing a CHW training program</w:t>
      </w:r>
    </w:p>
    <w:p w14:paraId="57101328" w14:textId="7323866F" w:rsidR="00AD12F3" w:rsidRPr="00AD12F3" w:rsidRDefault="00AD12F3" w:rsidP="000F0AAF">
      <w:pPr>
        <w:spacing w:after="120" w:line="240" w:lineRule="auto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Certificate programs help community health workers build skills and knowledge to serve their communities effectively. This document serves to provide guidance when researching and selecting a CHW training program. </w:t>
      </w:r>
    </w:p>
    <w:p w14:paraId="1EBBB9D4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 xml:space="preserve">Care Connections stipend requirements </w:t>
      </w:r>
    </w:p>
    <w:p w14:paraId="22D4BAC1" w14:textId="77777777" w:rsidR="00AD12F3" w:rsidRPr="006F7D12" w:rsidRDefault="00AD12F3" w:rsidP="000F0AAF">
      <w:pPr>
        <w:pStyle w:val="ListParagraph"/>
        <w:numPr>
          <w:ilvl w:val="0"/>
          <w:numId w:val="7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Confirm the cost of the training program including tuition and any supplies or books that may be required.</w:t>
      </w:r>
    </w:p>
    <w:p w14:paraId="58980173" w14:textId="3300A2AC" w:rsidR="00AD12F3" w:rsidRPr="006F7D12" w:rsidRDefault="00AD12F3" w:rsidP="000F0AAF">
      <w:pPr>
        <w:pStyle w:val="ListParagraph"/>
        <w:numPr>
          <w:ilvl w:val="0"/>
          <w:numId w:val="7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Consider the timeline to completion and ensure that the CHW will </w:t>
      </w:r>
      <w:r w:rsidR="00805E7E">
        <w:rPr>
          <w:rFonts w:ascii="Franklin Gothic Book" w:eastAsia="Aptos" w:hAnsi="Franklin Gothic Book" w:cs="Times New Roman"/>
          <w:kern w:val="2"/>
          <w14:ligatures w14:val="standardContextual"/>
        </w:rPr>
        <w:t>complete</w:t>
      </w:r>
      <w:r w:rsidR="00805E7E"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 </w:t>
      </w: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the training before May 2026. </w:t>
      </w:r>
    </w:p>
    <w:p w14:paraId="75B88CE0" w14:textId="6545A0A0" w:rsidR="00AD12F3" w:rsidRPr="003F295E" w:rsidRDefault="00AD12F3" w:rsidP="000F0AAF">
      <w:pPr>
        <w:pStyle w:val="ListParagraph"/>
        <w:numPr>
          <w:ilvl w:val="0"/>
          <w:numId w:val="7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Have a mission that aligns with the ethical principles, tenets and teachings of the Roman Catholic faith, according to the </w:t>
      </w:r>
      <w:hyperlink r:id="rId7" w:anchor=":~:text=Rooted%20in%20Catholic%20Values&amp;text=Mother%20Cabrini's%20lifelong%20commitment%20to,the%20work%20of%20the%20Foundation.&amp;text=Other%20key%20principles%2C%20such%20as,of%20serving%20vulnerable%20New%20Yorkers." w:history="1">
        <w:r w:rsidRPr="006F7D12">
          <w:rPr>
            <w:rFonts w:ascii="Franklin Gothic Book" w:eastAsia="Times New Roman" w:hAnsi="Franklin Gothic Book" w:cs="Times New Roman"/>
            <w:color w:val="0000FF"/>
            <w:kern w:val="2"/>
            <w:sz w:val="24"/>
            <w:szCs w:val="24"/>
            <w:u w:val="single"/>
            <w14:ligatures w14:val="standardContextual"/>
          </w:rPr>
          <w:t>Mother Cabrini Health Foundation</w:t>
        </w:r>
      </w:hyperlink>
      <w:r w:rsidRPr="006F7D12">
        <w:rPr>
          <w:rFonts w:ascii="Aptos" w:eastAsia="Aptos" w:hAnsi="Aptos" w:cs="Times New Roman"/>
          <w:kern w:val="2"/>
          <w14:ligatures w14:val="standardContextual"/>
        </w:rPr>
        <w:t>.</w:t>
      </w:r>
    </w:p>
    <w:p w14:paraId="44015D18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Eligibility requirements</w:t>
      </w:r>
    </w:p>
    <w:p w14:paraId="29C5BA01" w14:textId="7AE9F7AE" w:rsidR="00AD12F3" w:rsidRPr="003F295E" w:rsidRDefault="00B75B75" w:rsidP="000F0AAF">
      <w:pPr>
        <w:pStyle w:val="ListParagraph"/>
        <w:numPr>
          <w:ilvl w:val="0"/>
          <w:numId w:val="8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>
        <w:rPr>
          <w:rFonts w:ascii="Franklin Gothic Book" w:eastAsia="Aptos" w:hAnsi="Franklin Gothic Book" w:cs="Times New Roman"/>
          <w:kern w:val="2"/>
          <w14:ligatures w14:val="standardContextual"/>
        </w:rPr>
        <w:t>Ensure</w:t>
      </w:r>
      <w:r w:rsidR="00AD12F3"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 the CHW trainee meets the necessary educational and/or experience criteria to enroll.</w:t>
      </w:r>
    </w:p>
    <w:p w14:paraId="217D7CC6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Training delivery and instructors</w:t>
      </w:r>
    </w:p>
    <w:p w14:paraId="66288B8C" w14:textId="77777777" w:rsidR="00AD12F3" w:rsidRPr="006F7D12" w:rsidRDefault="00AD12F3" w:rsidP="000F0AAF">
      <w:pPr>
        <w:pStyle w:val="ListParagraph"/>
        <w:numPr>
          <w:ilvl w:val="0"/>
          <w:numId w:val="8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Consider whether the training meets the needs of your organization and the CHW being trained. Discuss whether a virtual, in-person or hybrid option makes the most sense. </w:t>
      </w:r>
    </w:p>
    <w:p w14:paraId="59741CA0" w14:textId="058DECD4" w:rsidR="00AD12F3" w:rsidRPr="003F295E" w:rsidRDefault="00AD12F3" w:rsidP="000F0AAF">
      <w:pPr>
        <w:pStyle w:val="ListParagraph"/>
        <w:numPr>
          <w:ilvl w:val="0"/>
          <w:numId w:val="8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Look up the instructor’s credentials to ensure they are qualified to train CHWs. Are the </w:t>
      </w:r>
      <w:proofErr w:type="gramStart"/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trainers</w:t>
      </w:r>
      <w:proofErr w:type="gramEnd"/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 healthcare professionals or community leaders, or are they experienced CHWs? </w:t>
      </w:r>
    </w:p>
    <w:p w14:paraId="567AFB9E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Curriculum and skills development</w:t>
      </w:r>
    </w:p>
    <w:p w14:paraId="4713BFE7" w14:textId="77777777" w:rsidR="00AD12F3" w:rsidRPr="006F7D12" w:rsidRDefault="00AD12F3" w:rsidP="000F0AAF">
      <w:pPr>
        <w:pStyle w:val="ListParagraph"/>
        <w:numPr>
          <w:ilvl w:val="0"/>
          <w:numId w:val="9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cover the core CHW competencies like outreach, advocacy, health education, case management, communication, organizational skills, cultural competency and referral services?</w:t>
      </w:r>
    </w:p>
    <w:p w14:paraId="5BB5E326" w14:textId="77777777" w:rsidR="00AD12F3" w:rsidRPr="006F7D12" w:rsidRDefault="00AD12F3" w:rsidP="000F0AAF">
      <w:pPr>
        <w:pStyle w:val="ListParagraph"/>
        <w:numPr>
          <w:ilvl w:val="0"/>
          <w:numId w:val="9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provide hands-on experience or real-life scenarios to build knowledge and expertise?</w:t>
      </w:r>
    </w:p>
    <w:p w14:paraId="59AADCF2" w14:textId="7160E33E" w:rsidR="00AD12F3" w:rsidRPr="003F295E" w:rsidRDefault="00AD12F3" w:rsidP="000F0AAF">
      <w:pPr>
        <w:pStyle w:val="ListParagraph"/>
        <w:numPr>
          <w:ilvl w:val="0"/>
          <w:numId w:val="9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include literacy skills for electronic health records or other relevant technology?</w:t>
      </w:r>
    </w:p>
    <w:p w14:paraId="0AEB282D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Community relevance</w:t>
      </w:r>
    </w:p>
    <w:p w14:paraId="7A710E47" w14:textId="77777777" w:rsidR="00AD12F3" w:rsidRPr="006F7D12" w:rsidRDefault="00AD12F3" w:rsidP="000F0AAF">
      <w:pPr>
        <w:pStyle w:val="ListParagraph"/>
        <w:numPr>
          <w:ilvl w:val="0"/>
          <w:numId w:val="10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incorporate a cultural sensitivity approach and help build language skills needed to engage with diverse communities?</w:t>
      </w:r>
    </w:p>
    <w:p w14:paraId="5E3DA204" w14:textId="44F014AD" w:rsidR="00AD12F3" w:rsidRPr="006F7D12" w:rsidRDefault="00AD12F3" w:rsidP="000F0AAF">
      <w:pPr>
        <w:pStyle w:val="ListParagraph"/>
        <w:numPr>
          <w:ilvl w:val="0"/>
          <w:numId w:val="10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Does the training address prevalent health issues within your area, such as chronic disease management, access to healthcare, and </w:t>
      </w:r>
      <w:r w:rsidR="00A9673E">
        <w:rPr>
          <w:rFonts w:ascii="Franklin Gothic Book" w:eastAsia="Aptos" w:hAnsi="Franklin Gothic Book" w:cs="Times New Roman"/>
          <w:kern w:val="2"/>
          <w14:ligatures w14:val="standardContextual"/>
        </w:rPr>
        <w:t>health related social needs?</w:t>
      </w:r>
    </w:p>
    <w:p w14:paraId="4EDC5BF2" w14:textId="10614543" w:rsidR="00AD12F3" w:rsidRPr="003F295E" w:rsidRDefault="00AD12F3" w:rsidP="000F0AAF">
      <w:pPr>
        <w:pStyle w:val="ListParagraph"/>
        <w:numPr>
          <w:ilvl w:val="0"/>
          <w:numId w:val="10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cover information specific to your community's demographics and health concerns?</w:t>
      </w:r>
    </w:p>
    <w:p w14:paraId="76C03EBC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Standards and certification</w:t>
      </w:r>
    </w:p>
    <w:p w14:paraId="48339ABF" w14:textId="77777777" w:rsidR="00AD12F3" w:rsidRPr="006F7D12" w:rsidRDefault="00AD12F3" w:rsidP="000F0AAF">
      <w:pPr>
        <w:pStyle w:val="ListParagraph"/>
        <w:numPr>
          <w:ilvl w:val="0"/>
          <w:numId w:val="11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Is the training organization reputable and does it meet quality and competency standards?</w:t>
      </w:r>
    </w:p>
    <w:p w14:paraId="5188D3C6" w14:textId="019CFED8" w:rsidR="00AD12F3" w:rsidRPr="003F295E" w:rsidRDefault="00AD12F3" w:rsidP="000F0AAF">
      <w:pPr>
        <w:pStyle w:val="ListParagraph"/>
        <w:numPr>
          <w:ilvl w:val="0"/>
          <w:numId w:val="11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lead to a CHW certification that can enhance employment opportunities?</w:t>
      </w:r>
    </w:p>
    <w:p w14:paraId="09313BC2" w14:textId="77777777" w:rsidR="00AD12F3" w:rsidRPr="006F7D12" w:rsidRDefault="00AD12F3" w:rsidP="000F0AAF">
      <w:pPr>
        <w:spacing w:after="12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Feedback and evaluation</w:t>
      </w:r>
    </w:p>
    <w:p w14:paraId="40CE3960" w14:textId="77777777" w:rsidR="00AD12F3" w:rsidRPr="006F7D12" w:rsidRDefault="00AD12F3" w:rsidP="000F0AAF">
      <w:pPr>
        <w:pStyle w:val="ListParagraph"/>
        <w:numPr>
          <w:ilvl w:val="0"/>
          <w:numId w:val="12"/>
        </w:numPr>
        <w:spacing w:after="12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Look for programs that value and collect feedback from trainees and use it to improve their curriculum and training methods.</w:t>
      </w:r>
    </w:p>
    <w:sectPr w:rsidR="00AD12F3" w:rsidRPr="006F7D12" w:rsidSect="00C51A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8E46" w14:textId="77777777" w:rsidR="00C51A35" w:rsidRDefault="00C51A35" w:rsidP="00C51A35">
      <w:pPr>
        <w:spacing w:after="0" w:line="240" w:lineRule="auto"/>
      </w:pPr>
      <w:r>
        <w:separator/>
      </w:r>
    </w:p>
  </w:endnote>
  <w:endnote w:type="continuationSeparator" w:id="0">
    <w:p w14:paraId="0C9C17E3" w14:textId="77777777" w:rsidR="00C51A35" w:rsidRDefault="00C51A35" w:rsidP="00C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78808D9E" w:rsidR="00C51A35" w:rsidRPr="009A203D" w:rsidRDefault="00C51A35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hanys.org/careconnections    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78808D9E" w:rsidR="00C51A35" w:rsidRPr="009A203D" w:rsidRDefault="00C51A35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</w:t>
                    </w:r>
                    <w:proofErr w:type="spellStart"/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careconnections</w:t>
                    </w:r>
                    <w:proofErr w:type="spellEnd"/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43C6" w14:textId="77777777" w:rsidR="00C51A35" w:rsidRDefault="00C51A35" w:rsidP="00C51A35">
      <w:pPr>
        <w:spacing w:after="0" w:line="240" w:lineRule="auto"/>
      </w:pPr>
      <w:r>
        <w:separator/>
      </w:r>
    </w:p>
  </w:footnote>
  <w:footnote w:type="continuationSeparator" w:id="0">
    <w:p w14:paraId="2DFD0211" w14:textId="77777777" w:rsidR="00C51A35" w:rsidRDefault="00C51A35" w:rsidP="00C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D1AE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DF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D3B"/>
    <w:multiLevelType w:val="hybridMultilevel"/>
    <w:tmpl w:val="0E76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91A"/>
    <w:multiLevelType w:val="hybridMultilevel"/>
    <w:tmpl w:val="497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AB1"/>
    <w:multiLevelType w:val="hybridMultilevel"/>
    <w:tmpl w:val="C00C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54F2"/>
    <w:multiLevelType w:val="hybridMultilevel"/>
    <w:tmpl w:val="1854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5D42"/>
    <w:multiLevelType w:val="hybridMultilevel"/>
    <w:tmpl w:val="0D84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E1906"/>
    <w:multiLevelType w:val="hybridMultilevel"/>
    <w:tmpl w:val="7DC2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F30"/>
    <w:multiLevelType w:val="hybridMultilevel"/>
    <w:tmpl w:val="BE3A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0E6"/>
    <w:multiLevelType w:val="hybridMultilevel"/>
    <w:tmpl w:val="472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6600"/>
    <w:multiLevelType w:val="hybridMultilevel"/>
    <w:tmpl w:val="9F12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85148"/>
    <w:multiLevelType w:val="hybridMultilevel"/>
    <w:tmpl w:val="E468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5BF"/>
    <w:multiLevelType w:val="hybridMultilevel"/>
    <w:tmpl w:val="8D28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E0E6F"/>
    <w:multiLevelType w:val="hybridMultilevel"/>
    <w:tmpl w:val="1E9EF63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46496615">
    <w:abstractNumId w:val="11"/>
  </w:num>
  <w:num w:numId="2" w16cid:durableId="1726560949">
    <w:abstractNumId w:val="10"/>
  </w:num>
  <w:num w:numId="3" w16cid:durableId="1727874577">
    <w:abstractNumId w:val="6"/>
  </w:num>
  <w:num w:numId="4" w16cid:durableId="1310359099">
    <w:abstractNumId w:val="0"/>
  </w:num>
  <w:num w:numId="5" w16cid:durableId="1736975702">
    <w:abstractNumId w:val="1"/>
  </w:num>
  <w:num w:numId="6" w16cid:durableId="966547523">
    <w:abstractNumId w:val="8"/>
  </w:num>
  <w:num w:numId="7" w16cid:durableId="1800025919">
    <w:abstractNumId w:val="5"/>
  </w:num>
  <w:num w:numId="8" w16cid:durableId="634526809">
    <w:abstractNumId w:val="7"/>
  </w:num>
  <w:num w:numId="9" w16cid:durableId="2019305385">
    <w:abstractNumId w:val="4"/>
  </w:num>
  <w:num w:numId="10" w16cid:durableId="638808562">
    <w:abstractNumId w:val="2"/>
  </w:num>
  <w:num w:numId="11" w16cid:durableId="744451560">
    <w:abstractNumId w:val="3"/>
  </w:num>
  <w:num w:numId="12" w16cid:durableId="1268659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05184F"/>
    <w:rsid w:val="000F0AAF"/>
    <w:rsid w:val="00166972"/>
    <w:rsid w:val="00174E2C"/>
    <w:rsid w:val="00326BEF"/>
    <w:rsid w:val="003F295E"/>
    <w:rsid w:val="00456A5A"/>
    <w:rsid w:val="00560B57"/>
    <w:rsid w:val="00617D93"/>
    <w:rsid w:val="006366E6"/>
    <w:rsid w:val="006F7D12"/>
    <w:rsid w:val="007B3FDD"/>
    <w:rsid w:val="007C2471"/>
    <w:rsid w:val="00805E7E"/>
    <w:rsid w:val="00882388"/>
    <w:rsid w:val="009755B9"/>
    <w:rsid w:val="009A203D"/>
    <w:rsid w:val="009E3ECE"/>
    <w:rsid w:val="00A1685D"/>
    <w:rsid w:val="00A35387"/>
    <w:rsid w:val="00A52914"/>
    <w:rsid w:val="00A9673E"/>
    <w:rsid w:val="00AD12F3"/>
    <w:rsid w:val="00B2007C"/>
    <w:rsid w:val="00B75B75"/>
    <w:rsid w:val="00C21BEC"/>
    <w:rsid w:val="00C51A35"/>
    <w:rsid w:val="00C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B16E1FC7-A2A5-435A-A187-C1D892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  <w:style w:type="paragraph" w:styleId="Revision">
    <w:name w:val="Revision"/>
    <w:hidden/>
    <w:uiPriority w:val="99"/>
    <w:semiHidden/>
    <w:rsid w:val="00636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brinihealth.org/catholic-valu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Jonathan Serrano</cp:lastModifiedBy>
  <cp:revision>5</cp:revision>
  <dcterms:created xsi:type="dcterms:W3CDTF">2025-03-07T16:33:00Z</dcterms:created>
  <dcterms:modified xsi:type="dcterms:W3CDTF">2025-04-22T12:30:00Z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4af95eb6a4915f45b69477f7387f9b1fc7ddb6f9806acda4bbed8b878d05f32a</vt:lpwstr>
  </property>
</Properties>
</file>